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8C975" w14:textId="07C596F9" w:rsidR="003D7B5E" w:rsidRPr="004A34A1" w:rsidRDefault="009613DA" w:rsidP="004608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A383D">
        <w:rPr>
          <w:rFonts w:ascii="Times New Roman" w:eastAsia="Times New Roman" w:hAnsi="Times New Roman" w:cs="Times New Roman"/>
          <w:b/>
          <w:bCs/>
          <w:smallCaps/>
          <w:kern w:val="0"/>
          <w:sz w:val="36"/>
          <w:szCs w:val="36"/>
          <w:lang w:eastAsia="it-IT"/>
          <w14:ligatures w14:val="none"/>
        </w:rPr>
        <w:t>“Credi tu questo?”</w:t>
      </w:r>
      <w:r w:rsidR="004A34A1">
        <w:rPr>
          <w:rFonts w:ascii="Times New Roman" w:eastAsia="Times New Roman" w:hAnsi="Times New Roman" w:cs="Times New Roman"/>
          <w:b/>
          <w:bCs/>
          <w:smallCaps/>
          <w:kern w:val="0"/>
          <w:sz w:val="36"/>
          <w:szCs w:val="36"/>
          <w:lang w:eastAsia="it-IT"/>
          <w14:ligatures w14:val="none"/>
        </w:rPr>
        <w:t xml:space="preserve"> </w:t>
      </w:r>
      <w:r w:rsidR="00AC6CDB">
        <w:rPr>
          <w:rFonts w:ascii="Times New Roman" w:eastAsia="Times New Roman" w:hAnsi="Times New Roman" w:cs="Times New Roman"/>
          <w:b/>
          <w:bCs/>
          <w:smallCaps/>
          <w:kern w:val="0"/>
          <w:sz w:val="36"/>
          <w:szCs w:val="36"/>
          <w:lang w:eastAsia="it-IT"/>
          <w14:ligatures w14:val="none"/>
        </w:rPr>
        <w:t xml:space="preserve">     </w:t>
      </w:r>
      <w:r w:rsidR="004A34A1" w:rsidRPr="004A34A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(G</w:t>
      </w:r>
      <w:r w:rsidR="004A34A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iovanni</w:t>
      </w:r>
      <w:r w:rsidR="004A34A1" w:rsidRPr="004A34A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11</w:t>
      </w:r>
      <w:r w:rsidR="00AC6CD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,26)</w:t>
      </w:r>
    </w:p>
    <w:p w14:paraId="191256D9" w14:textId="1610FBB6" w:rsidR="00EB7DCB" w:rsidRDefault="00A1145E" w:rsidP="000E54E9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Sac. </w:t>
      </w:r>
      <w:r w:rsidR="000E54E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Mario Porro</w:t>
      </w:r>
    </w:p>
    <w:p w14:paraId="5F29E21D" w14:textId="376AC6D6" w:rsidR="000E54E9" w:rsidRPr="000E54E9" w:rsidRDefault="000E54E9" w:rsidP="000E54E9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</w:pPr>
      <w:r w:rsidRPr="000E54E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  <w:t>Ecumen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  <w:t>i</w:t>
      </w:r>
      <w:r w:rsidRPr="000E54E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  <w:t>smo e dialogo interreligioso</w:t>
      </w:r>
    </w:p>
    <w:p w14:paraId="0A4E4004" w14:textId="77777777" w:rsidR="000E54E9" w:rsidRDefault="000E54E9" w:rsidP="0044235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02F86A74" w14:textId="423D8441" w:rsidR="005403C0" w:rsidRDefault="00B273EC" w:rsidP="0044235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B273E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È il t</w:t>
      </w:r>
      <w:r w:rsidR="002C3D15" w:rsidRPr="00DA756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ema </w:t>
      </w:r>
      <w:r w:rsidR="000F53F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scelto per la</w:t>
      </w:r>
      <w:r w:rsidR="002C3D15" w:rsidRPr="00DA756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riflessione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per </w:t>
      </w:r>
      <w:r w:rsidR="002C3D15" w:rsidRPr="00DA756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la Settimana </w:t>
      </w:r>
      <w:r w:rsidR="008878F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di preghiera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per l’unità dei cristian</w:t>
      </w:r>
      <w:r w:rsidR="003D7B5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</w:t>
      </w:r>
      <w:r w:rsidR="00623DB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2C3D15" w:rsidRPr="00DA756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il versetto, “Credi tu questo?”, tratto da</w:t>
      </w:r>
      <w:r w:rsidR="003D7B5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l vangelo di </w:t>
      </w:r>
      <w:r w:rsidR="002C3D15" w:rsidRPr="00DA756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Giovanni 11,26</w:t>
      </w:r>
      <w:r w:rsidR="000F53F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9613DA" w:rsidRPr="009613D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che fa da linea guida ai sussidi della Settimana di Preghiera per l’Unità dei Cristiani </w:t>
      </w:r>
      <w:r w:rsidR="00712E8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per il</w:t>
      </w:r>
      <w:r w:rsidR="009613DA" w:rsidRPr="009613D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2025. </w:t>
      </w:r>
      <w:r w:rsidR="0044235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9613DA" w:rsidRPr="009613D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Quest’anno, le </w:t>
      </w:r>
      <w:r w:rsidR="009613DA" w:rsidRPr="00CD351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preghiere e riflessioni della Settimana di Preghiera sono stati</w:t>
      </w:r>
      <w:r w:rsidR="009613DA" w:rsidRPr="009613D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preparati da fratelli e sorelle della comunità monastica di Bose</w:t>
      </w:r>
      <w:r w:rsidR="009613DA" w:rsidRPr="009613D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nel Nord Italia.</w:t>
      </w:r>
      <w:r w:rsidR="00B33FA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9613DA" w:rsidRPr="009613D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 testi forniscono un percorso di otto giorni, con una preghiera quotidiana che prevede la </w:t>
      </w:r>
      <w:r w:rsidR="009613DA" w:rsidRPr="00F00F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meditazione di due letture della</w:t>
      </w:r>
      <w:r w:rsidR="009613DA" w:rsidRPr="009613D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9613DA" w:rsidRPr="009613D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Scrittura e un salmo. </w:t>
      </w:r>
    </w:p>
    <w:p w14:paraId="6875BD80" w14:textId="77777777" w:rsidR="00AF52CF" w:rsidRDefault="009613DA" w:rsidP="00D35C2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403C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Ogni giorno, si affronta una delle</w:t>
      </w:r>
      <w:r w:rsidRPr="009613D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affermazioni chiave del Credo Niceno</w:t>
      </w:r>
      <w:r w:rsidRPr="009613D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.</w:t>
      </w:r>
      <w:r w:rsidR="00E158C5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</w:p>
    <w:p w14:paraId="2A3A0B44" w14:textId="2472F034" w:rsidR="00D35C21" w:rsidRDefault="009613DA" w:rsidP="00D35C2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9613D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Così, nel primo giorno si parla della </w:t>
      </w:r>
      <w:r w:rsidRPr="004423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paternità e cura di Dio</w:t>
      </w:r>
      <w:r w:rsidRPr="009613D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che governa l’universo, nel secondo della </w:t>
      </w:r>
      <w:r w:rsidRPr="002014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Creazione come opera Dio</w:t>
      </w:r>
      <w:r w:rsidRPr="009613D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, nel terzo </w:t>
      </w:r>
      <w:r w:rsidRPr="002014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dell’incarnazione d</w:t>
      </w:r>
      <w:r w:rsidR="002014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e</w:t>
      </w:r>
      <w:r w:rsidRPr="002014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l Figlio</w:t>
      </w:r>
      <w:r w:rsidRPr="009613D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, nel quarto del </w:t>
      </w:r>
      <w:r w:rsidRPr="002014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mistero Pasquale </w:t>
      </w:r>
      <w:r w:rsidRPr="009613D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di Passione, morte e Resurrezione di Gesù.</w:t>
      </w:r>
      <w:r w:rsidR="00E158C5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9613D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E quindi, il quinto giorno si riflette sullo </w:t>
      </w:r>
      <w:r w:rsidRPr="002014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Spirito Santo</w:t>
      </w:r>
      <w:r w:rsidRPr="009613D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, donatore di vita e gioia, nel sesto giorno della </w:t>
      </w:r>
      <w:r w:rsidRPr="002014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Chiesa come comunità di credenti</w:t>
      </w:r>
      <w:r w:rsidRPr="009613D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, nel settimo nel </w:t>
      </w:r>
      <w:r w:rsidRPr="002014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Battesimo</w:t>
      </w:r>
      <w:r w:rsidRPr="009613D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nella </w:t>
      </w:r>
      <w:r w:rsidRPr="00AC6C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morte e resurrezione </w:t>
      </w:r>
      <w:r w:rsidRPr="009613D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del Signore e nell’ottavo giorno </w:t>
      </w:r>
      <w:r w:rsidRPr="002014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dell’attesa per l’arrivo del Regno di Dio.</w:t>
      </w:r>
      <w:r w:rsidR="002639BD" w:rsidRPr="002014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</w:t>
      </w:r>
      <w:r w:rsidR="00D35C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</w:t>
      </w:r>
    </w:p>
    <w:p w14:paraId="144C2F91" w14:textId="77777777" w:rsidR="00D35C21" w:rsidRDefault="009613DA" w:rsidP="00D35C2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9613D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Una scelta dettata dal fatto che </w:t>
      </w:r>
      <w:r w:rsidR="002639B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il 2025 </w:t>
      </w:r>
      <w:r w:rsidRPr="009613D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“segna il 1700esimo anniversario del primo Concilio Ecumenico”, e questa è “una opportunità unica di riflettere e celebrare la fede comune dei cristiani, come espresso nel Credo formulato durante il suo Concilio – una fede che resta viva e fruttuosa ni nostri giorni”.</w:t>
      </w:r>
      <w:r w:rsidR="008605B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AF52C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Il Concilio di Nicea</w:t>
      </w:r>
      <w:r w:rsidRPr="009613D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convocato dall’imperatore Costantino, aveva visto la partecipazione di 318 padri, la maggior parte dall’Est, in una Chiesa che “essendo appena emersa dal nascondimento e dalla persecuzione, cominciava a sperimentare come fosse difficile condividere la stessa fede nei differenti contesti politici e culturali del tempo”.</w:t>
      </w:r>
      <w:r w:rsidR="008605B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9613D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Così, </w:t>
      </w:r>
      <w:r w:rsidRPr="00AF52C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l’accordo sul testo del Credo</w:t>
      </w:r>
      <w:r w:rsidRPr="009613D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fu “materia di difesa della fondazioni comuni su cui costruire le comunità locali che si riconoscevano come Chiese sorelle, rispettando le diversità gli uni degli altri”, superando i disaccordi degli anni precedenti che “erano degenerati in seri conflitti”, e che riguardavano ad esempio </w:t>
      </w:r>
      <w:r w:rsidRPr="003800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la natura di Cristo</w:t>
      </w:r>
      <w:r w:rsidRPr="009613D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in relazione al Padre, </w:t>
      </w:r>
      <w:r w:rsidRPr="003800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la questione della data della Pasqua</w:t>
      </w:r>
      <w:r w:rsidRPr="009613D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e la sua relazione con la Pasqua ebraica, e </w:t>
      </w:r>
      <w:r w:rsidRPr="003800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la reintegrazione di credenti</w:t>
      </w:r>
      <w:r w:rsidRPr="009613D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che avevano abbandonato la fede negli anni precedenti.</w:t>
      </w:r>
      <w:r w:rsidR="00D575A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</w:p>
    <w:p w14:paraId="52C2AFCC" w14:textId="77777777" w:rsidR="00CE30F7" w:rsidRDefault="009613DA" w:rsidP="00D35C2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9613D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Il sussidio nota che il Credo è stato approvato con la </w:t>
      </w:r>
      <w:r w:rsidRPr="00D35C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formula della prima persona plurale</w:t>
      </w:r>
      <w:r w:rsidRPr="009613D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3800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“Noi crediamo”,</w:t>
      </w:r>
      <w:r w:rsidRPr="009613D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cosa che “enfatizzava l’espressione di una appartenenza comune”, ed è diviso in tre parti dedicato alle tre persone della Trinità. </w:t>
      </w:r>
      <w:r w:rsidRPr="003800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Nel 381</w:t>
      </w:r>
      <w:r w:rsidRPr="009613D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, poi, durante il </w:t>
      </w:r>
      <w:r w:rsidRPr="003800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Concilio di Costantinopoli</w:t>
      </w:r>
      <w:r w:rsidRPr="009613D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, il testo del Credo è stato revisionato ed espanso, e vi sono state rimosse le condanne, ed è questa la forma della professione di fede che le Chiese cristiane riconoscono oggi come il Credo Niceno-Costantinopolitano. Il sussidio mette in luce anche che </w:t>
      </w:r>
      <w:r w:rsidRPr="003800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le divergenze di interpretazioni</w:t>
      </w:r>
      <w:r w:rsidRPr="009613D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successive hanno portato al </w:t>
      </w:r>
      <w:r w:rsidRPr="003800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festeggiamento della Pasqua</w:t>
      </w:r>
      <w:r w:rsidRPr="009613D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in date differenti in Oriente ed Occidente, ma che </w:t>
      </w:r>
      <w:r w:rsidRPr="009613D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nel 2025 c’è una fortunata coincidenza delle date della Pasqua. </w:t>
      </w:r>
      <w:r w:rsidR="00D35C2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9613D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Considerato il significato ecumenico del 2025, sono stati inseriti anche brevi testi patristici, per lo più del primo millennio, per offrire uno spaccato della riflessione cristiana dell’epoca e per aiutare a situare le definizioni del Concilio di Nicea nel contesto in cui hanno avuto origine e dal quale sono state influenzate.</w:t>
      </w:r>
    </w:p>
    <w:p w14:paraId="0398842D" w14:textId="5FBBC9FE" w:rsidR="009613DA" w:rsidRDefault="00CE30F7" w:rsidP="00D35C2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Buona settimana di preghiera a tutte le comunità di fede.</w:t>
      </w:r>
      <w:r w:rsidR="009613DA" w:rsidRPr="009613D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B17C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</w:t>
      </w:r>
    </w:p>
    <w:p w14:paraId="365978BC" w14:textId="77777777" w:rsidR="002A56FE" w:rsidRDefault="002A56FE" w:rsidP="00D35C2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</w:p>
    <w:p w14:paraId="510DBDE3" w14:textId="77777777" w:rsidR="002A56FE" w:rsidRDefault="002A56FE" w:rsidP="00D35C2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</w:p>
    <w:p w14:paraId="3CA77E86" w14:textId="69B13C0A" w:rsidR="002A56FE" w:rsidRPr="009613DA" w:rsidRDefault="00AB1F8C" w:rsidP="00D35C2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06923A8E" wp14:editId="4F5946AA">
            <wp:simplePos x="0" y="0"/>
            <wp:positionH relativeFrom="margin">
              <wp:align>center</wp:align>
            </wp:positionH>
            <wp:positionV relativeFrom="paragraph">
              <wp:posOffset>175071</wp:posOffset>
            </wp:positionV>
            <wp:extent cx="4588510" cy="3197225"/>
            <wp:effectExtent l="0" t="0" r="2540" b="3175"/>
            <wp:wrapTight wrapText="bothSides">
              <wp:wrapPolygon edited="0">
                <wp:start x="0" y="0"/>
                <wp:lineTo x="0" y="21493"/>
                <wp:lineTo x="21522" y="21493"/>
                <wp:lineTo x="21522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8510" cy="319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9A758E" w14:textId="565A851B" w:rsidR="00EB7DCB" w:rsidRDefault="00D35C21" w:rsidP="00EB7DC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</w:p>
    <w:p w14:paraId="1CA87739" w14:textId="77777777" w:rsidR="00D17E4B" w:rsidRDefault="00D17E4B" w:rsidP="00EB7DC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99D8B72" w14:textId="77777777" w:rsidR="00AB1F8C" w:rsidRDefault="00AB1F8C" w:rsidP="00D17E4B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22445F4" w14:textId="77777777" w:rsidR="00AB1F8C" w:rsidRDefault="00AB1F8C" w:rsidP="00D17E4B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ABF857D" w14:textId="77777777" w:rsidR="00AB1F8C" w:rsidRDefault="00AB1F8C" w:rsidP="00D17E4B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6FE8E41" w14:textId="77777777" w:rsidR="00AB1F8C" w:rsidRDefault="00AB1F8C" w:rsidP="00D17E4B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FFCB870" w14:textId="77777777" w:rsidR="00AB1F8C" w:rsidRDefault="00AB1F8C" w:rsidP="00D17E4B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13BA0FD" w14:textId="77777777" w:rsidR="00AB1F8C" w:rsidRDefault="00AB1F8C" w:rsidP="00D17E4B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F5DF260" w14:textId="77777777" w:rsidR="00AB1F8C" w:rsidRDefault="00AB1F8C" w:rsidP="00D17E4B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88795FC" w14:textId="77777777" w:rsidR="00AB1F8C" w:rsidRDefault="00AB1F8C" w:rsidP="00D17E4B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167E581" w14:textId="77777777" w:rsidR="00AB1F8C" w:rsidRDefault="00AB1F8C" w:rsidP="00D17E4B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894F403" w14:textId="77777777" w:rsidR="00AB1F8C" w:rsidRDefault="00AB1F8C" w:rsidP="00D17E4B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C196CF6" w14:textId="77777777" w:rsidR="00AB1F8C" w:rsidRDefault="00AB1F8C" w:rsidP="00D17E4B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C526144" w14:textId="77777777" w:rsidR="00AB1F8C" w:rsidRDefault="00AB1F8C" w:rsidP="00D17E4B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A8F7972" w14:textId="77777777" w:rsidR="00AB1F8C" w:rsidRDefault="00AB1F8C" w:rsidP="00D17E4B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3A7EC15" w14:textId="77777777" w:rsidR="00AB1F8C" w:rsidRDefault="00AB1F8C" w:rsidP="00D17E4B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7CC2B14" w14:textId="77777777" w:rsidR="00AB1F8C" w:rsidRDefault="00AB1F8C" w:rsidP="00D17E4B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61C43D6" w14:textId="4C18A058" w:rsidR="00D17E4B" w:rsidRPr="00D17E4B" w:rsidRDefault="00D17E4B" w:rsidP="00D17E4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17E4B">
        <w:rPr>
          <w:rFonts w:ascii="Times New Roman" w:hAnsi="Times New Roman" w:cs="Times New Roman"/>
          <w:sz w:val="20"/>
          <w:szCs w:val="20"/>
        </w:rPr>
        <w:t xml:space="preserve">Raffigurazione del concilio di </w:t>
      </w:r>
      <w:hyperlink r:id="rId5" w:tooltip="Nicea" w:history="1">
        <w:r w:rsidRPr="00D17E4B">
          <w:rPr>
            <w:rStyle w:val="Collegamentoipertestuale"/>
            <w:rFonts w:ascii="Times New Roman" w:hAnsi="Times New Roman" w:cs="Times New Roman"/>
            <w:color w:val="auto"/>
            <w:sz w:val="20"/>
            <w:szCs w:val="20"/>
            <w:u w:val="none"/>
          </w:rPr>
          <w:t>Nicea</w:t>
        </w:r>
      </w:hyperlink>
      <w:r w:rsidRPr="00D17E4B">
        <w:rPr>
          <w:rFonts w:ascii="Times New Roman" w:hAnsi="Times New Roman" w:cs="Times New Roman"/>
          <w:sz w:val="20"/>
          <w:szCs w:val="20"/>
        </w:rPr>
        <w:t xml:space="preserve"> II tratta dal </w:t>
      </w:r>
      <w:hyperlink r:id="rId6" w:tooltip="Menologio di Basilio II" w:history="1">
        <w:r w:rsidRPr="00D17E4B">
          <w:rPr>
            <w:rStyle w:val="Collegamentoipertestuale"/>
            <w:rFonts w:ascii="Times New Roman" w:hAnsi="Times New Roman" w:cs="Times New Roman"/>
            <w:color w:val="auto"/>
            <w:sz w:val="20"/>
            <w:szCs w:val="20"/>
            <w:u w:val="none"/>
          </w:rPr>
          <w:t>Menologio di Basilio II</w:t>
        </w:r>
      </w:hyperlink>
    </w:p>
    <w:p w14:paraId="26F38BC5" w14:textId="77777777" w:rsidR="009613DA" w:rsidRPr="00DA756D" w:rsidRDefault="009613DA" w:rsidP="00DA75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60B418D2" w14:textId="30BD7D8E" w:rsidR="00B018BA" w:rsidRPr="00B018BA" w:rsidRDefault="005F41A9" w:rsidP="004A34A1">
      <w:pPr>
        <w:pStyle w:val="Titolo1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noProof/>
        </w:rPr>
        <w:t xml:space="preserve">                          </w:t>
      </w:r>
    </w:p>
    <w:p w14:paraId="6F2CB2F5" w14:textId="5AD70D83" w:rsidR="00576907" w:rsidRDefault="00576907" w:rsidP="00DA756D">
      <w:pPr>
        <w:jc w:val="both"/>
      </w:pPr>
    </w:p>
    <w:sectPr w:rsidR="005769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907"/>
    <w:rsid w:val="00022E10"/>
    <w:rsid w:val="000E54E9"/>
    <w:rsid w:val="000F53FE"/>
    <w:rsid w:val="001B7B41"/>
    <w:rsid w:val="00201488"/>
    <w:rsid w:val="002639BD"/>
    <w:rsid w:val="002A56FE"/>
    <w:rsid w:val="002C3D15"/>
    <w:rsid w:val="002D415B"/>
    <w:rsid w:val="003800F0"/>
    <w:rsid w:val="003D7B5E"/>
    <w:rsid w:val="00442359"/>
    <w:rsid w:val="00460800"/>
    <w:rsid w:val="004A34A1"/>
    <w:rsid w:val="005403C0"/>
    <w:rsid w:val="005549AF"/>
    <w:rsid w:val="00576907"/>
    <w:rsid w:val="005C20E9"/>
    <w:rsid w:val="005F41A9"/>
    <w:rsid w:val="00623DBF"/>
    <w:rsid w:val="00674776"/>
    <w:rsid w:val="00712E83"/>
    <w:rsid w:val="007A383D"/>
    <w:rsid w:val="008605B1"/>
    <w:rsid w:val="008878FF"/>
    <w:rsid w:val="009613DA"/>
    <w:rsid w:val="00992997"/>
    <w:rsid w:val="00A1145E"/>
    <w:rsid w:val="00A81026"/>
    <w:rsid w:val="00AB1F8C"/>
    <w:rsid w:val="00AC6CDB"/>
    <w:rsid w:val="00AF52CF"/>
    <w:rsid w:val="00B018BA"/>
    <w:rsid w:val="00B17CBE"/>
    <w:rsid w:val="00B273EC"/>
    <w:rsid w:val="00B33FA1"/>
    <w:rsid w:val="00C23ADE"/>
    <w:rsid w:val="00C5784E"/>
    <w:rsid w:val="00CD351A"/>
    <w:rsid w:val="00CE30F7"/>
    <w:rsid w:val="00D17E4B"/>
    <w:rsid w:val="00D35C21"/>
    <w:rsid w:val="00D56680"/>
    <w:rsid w:val="00D575AC"/>
    <w:rsid w:val="00DA4C16"/>
    <w:rsid w:val="00DA756D"/>
    <w:rsid w:val="00E143E1"/>
    <w:rsid w:val="00E158C5"/>
    <w:rsid w:val="00EB7DCB"/>
    <w:rsid w:val="00F0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E197"/>
  <w15:chartTrackingRefBased/>
  <w15:docId w15:val="{F5116DB8-3A66-478E-8450-A01278EE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566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17E4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566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6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5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2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08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2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5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3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8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3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5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8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2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9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3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1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2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6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06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8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7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2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7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25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53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68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726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319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wikipedia.org/wiki/Menologio_di_Basilio_II" TargetMode="External"/><Relationship Id="rId5" Type="http://schemas.openxmlformats.org/officeDocument/2006/relationships/hyperlink" Target="https://it.wikipedia.org/wiki/Nice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578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50</cp:revision>
  <dcterms:created xsi:type="dcterms:W3CDTF">2024-11-26T19:34:00Z</dcterms:created>
  <dcterms:modified xsi:type="dcterms:W3CDTF">2025-01-03T20:42:00Z</dcterms:modified>
</cp:coreProperties>
</file>